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BB8B9" w14:textId="77777777" w:rsidR="009D7DDF" w:rsidRDefault="009D7DDF">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3"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857"/>
        <w:gridCol w:w="2406"/>
      </w:tblGrid>
      <w:tr w:rsidR="009D7DDF" w14:paraId="78FE0335" w14:textId="77777777">
        <w:trPr>
          <w:trHeight w:val="1401"/>
        </w:trPr>
        <w:tc>
          <w:tcPr>
            <w:tcW w:w="7858" w:type="dxa"/>
            <w:vAlign w:val="center"/>
          </w:tcPr>
          <w:p w14:paraId="4C398726" w14:textId="77777777" w:rsidR="00AD5A05" w:rsidRDefault="00000000">
            <w:pPr>
              <w:pStyle w:val="Title"/>
              <w:ind w:left="0" w:firstLine="0"/>
            </w:pPr>
            <w:r>
              <w:t xml:space="preserve">Financial Aid &amp; Satisfactory Academic </w:t>
            </w:r>
          </w:p>
          <w:p w14:paraId="60FA7A2E" w14:textId="0F731000" w:rsidR="009D7DDF" w:rsidRDefault="00000000">
            <w:pPr>
              <w:pStyle w:val="Title"/>
              <w:ind w:left="0" w:firstLine="0"/>
            </w:pPr>
            <w:r>
              <w:t>Progress Policy</w:t>
            </w:r>
          </w:p>
        </w:tc>
        <w:tc>
          <w:tcPr>
            <w:tcW w:w="2406" w:type="dxa"/>
          </w:tcPr>
          <w:p w14:paraId="042E22E9" w14:textId="46881CF4" w:rsidR="009D7DDF" w:rsidRDefault="00AD5A05">
            <w:pPr>
              <w:ind w:right="-404"/>
            </w:pPr>
            <w:r>
              <w:rPr>
                <w:noProof/>
              </w:rPr>
              <w:drawing>
                <wp:inline distT="0" distB="0" distL="0" distR="0" wp14:anchorId="6ECBA17E" wp14:editId="3DED31AE">
                  <wp:extent cx="1390650" cy="1390650"/>
                  <wp:effectExtent l="0" t="0" r="0" b="0"/>
                  <wp:docPr id="1239174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74629" name="Picture 12391746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bl>
    <w:p w14:paraId="43CDFBCB" w14:textId="679D0FC6" w:rsidR="009D7DDF"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b/>
          <w:color w:val="000000"/>
        </w:rPr>
        <w:t>Original Date: August 4</w:t>
      </w:r>
      <w:r>
        <w:rPr>
          <w:b/>
          <w:color w:val="000000"/>
          <w:vertAlign w:val="superscript"/>
        </w:rPr>
        <w:t>th</w:t>
      </w:r>
      <w:r>
        <w:rPr>
          <w:b/>
          <w:color w:val="000000"/>
        </w:rPr>
        <w:t xml:space="preserve">, 2019                                                                                   </w:t>
      </w:r>
      <w:r w:rsidR="00AD5A05">
        <w:rPr>
          <w:b/>
          <w:color w:val="000000"/>
        </w:rPr>
        <w:t xml:space="preserve">           </w:t>
      </w:r>
      <w:r>
        <w:rPr>
          <w:b/>
          <w:color w:val="000000"/>
        </w:rPr>
        <w:t xml:space="preserve">Glocal Institute, Inc.                    </w:t>
      </w:r>
    </w:p>
    <w:p w14:paraId="5041782E" w14:textId="77777777" w:rsidR="009D7DDF" w:rsidRDefault="009D7DDF">
      <w:pPr>
        <w:tabs>
          <w:tab w:val="right" w:pos="10204"/>
        </w:tabs>
        <w:ind w:left="0" w:firstLine="0"/>
        <w:rPr>
          <w:b/>
          <w:sz w:val="8"/>
          <w:szCs w:val="8"/>
        </w:rPr>
      </w:pPr>
    </w:p>
    <w:p w14:paraId="7AAC69F4" w14:textId="77777777" w:rsidR="009D7DDF" w:rsidRDefault="009D7DDF">
      <w:pPr>
        <w:pBdr>
          <w:top w:val="single" w:sz="4" w:space="1" w:color="000000"/>
        </w:pBdr>
        <w:tabs>
          <w:tab w:val="right" w:pos="10204"/>
        </w:tabs>
      </w:pPr>
    </w:p>
    <w:p w14:paraId="4369AF66" w14:textId="77777777" w:rsidR="009D7DDF" w:rsidRDefault="009D7DDF">
      <w:pPr>
        <w:pBdr>
          <w:top w:val="nil"/>
          <w:left w:val="nil"/>
          <w:bottom w:val="nil"/>
          <w:right w:val="nil"/>
          <w:between w:val="nil"/>
        </w:pBdr>
        <w:tabs>
          <w:tab w:val="center" w:pos="4513"/>
          <w:tab w:val="right" w:pos="9026"/>
        </w:tabs>
        <w:ind w:left="0" w:firstLine="0"/>
        <w:rPr>
          <w:rFonts w:eastAsia="Arial"/>
          <w:color w:val="800000"/>
        </w:rPr>
      </w:pPr>
    </w:p>
    <w:p w14:paraId="487ABC56" w14:textId="77777777" w:rsidR="009D7DDF" w:rsidRDefault="00000000">
      <w:pPr>
        <w:pStyle w:val="Heading1"/>
        <w:numPr>
          <w:ilvl w:val="0"/>
          <w:numId w:val="2"/>
        </w:numPr>
        <w:tabs>
          <w:tab w:val="left" w:pos="567"/>
        </w:tabs>
      </w:pPr>
      <w:bookmarkStart w:id="0" w:name="_heading=h.gjdgxs" w:colFirst="0" w:colLast="0"/>
      <w:bookmarkEnd w:id="0"/>
      <w:r>
        <w:t>PURPOSE</w:t>
      </w:r>
    </w:p>
    <w:p w14:paraId="279818BE" w14:textId="77777777" w:rsidR="009D7DDF" w:rsidRDefault="009D7DDF"/>
    <w:p w14:paraId="10FA0146" w14:textId="77777777" w:rsidR="009D7DDF" w:rsidRDefault="00000000">
      <w:r>
        <w:tab/>
        <w:t>Federal regulations require that all students who receive any financial aid meet federal academic progress standards while taking courses toward a degree or certificate program. This policy applies to all terms of enrolment, even if not receiving federal aid. Academic progress is measured both by cumulative grade point average and by course grades.</w:t>
      </w:r>
    </w:p>
    <w:p w14:paraId="620FA282" w14:textId="77777777" w:rsidR="009D7DDF" w:rsidRDefault="009D7DDF"/>
    <w:p w14:paraId="0CDA4B64" w14:textId="77777777" w:rsidR="009D7DDF" w:rsidRDefault="00000000">
      <w:pPr>
        <w:pStyle w:val="Heading1"/>
        <w:numPr>
          <w:ilvl w:val="0"/>
          <w:numId w:val="2"/>
        </w:numPr>
        <w:tabs>
          <w:tab w:val="left" w:pos="567"/>
        </w:tabs>
      </w:pPr>
      <w:bookmarkStart w:id="1" w:name="_heading=h.30j0zll" w:colFirst="0" w:colLast="0"/>
      <w:bookmarkEnd w:id="1"/>
      <w:r>
        <w:t>SCOPE</w:t>
      </w:r>
    </w:p>
    <w:p w14:paraId="2D8AFFF7" w14:textId="77777777" w:rsidR="009D7DDF" w:rsidRDefault="009D7DDF"/>
    <w:p w14:paraId="488A68E4" w14:textId="77777777" w:rsidR="009D7DDF" w:rsidRDefault="00000000">
      <w:pPr>
        <w:ind w:left="570" w:firstLine="0"/>
      </w:pPr>
      <w:r>
        <w:t>All students enrolled in a course at Glocal Institute, Inc.</w:t>
      </w:r>
    </w:p>
    <w:p w14:paraId="00E6DB95" w14:textId="77777777" w:rsidR="009D7DDF" w:rsidRDefault="009D7DDF">
      <w:pPr>
        <w:ind w:left="570" w:firstLine="0"/>
      </w:pPr>
    </w:p>
    <w:p w14:paraId="3382940F" w14:textId="77777777" w:rsidR="009D7DDF" w:rsidRDefault="00000000">
      <w:pPr>
        <w:pStyle w:val="Heading1"/>
        <w:numPr>
          <w:ilvl w:val="0"/>
          <w:numId w:val="2"/>
        </w:numPr>
        <w:tabs>
          <w:tab w:val="left" w:pos="567"/>
        </w:tabs>
      </w:pPr>
      <w:bookmarkStart w:id="2" w:name="_heading=h.1fob9te" w:colFirst="0" w:colLast="0"/>
      <w:bookmarkEnd w:id="2"/>
      <w:r>
        <w:t>POLICY STATEMENT</w:t>
      </w:r>
    </w:p>
    <w:p w14:paraId="3376CE61" w14:textId="77777777" w:rsidR="009D7DDF" w:rsidRDefault="009D7DDF">
      <w:pPr>
        <w:ind w:left="0" w:firstLine="0"/>
      </w:pPr>
      <w:bookmarkStart w:id="3" w:name="_heading=h.3znysh7" w:colFirst="0" w:colLast="0"/>
      <w:bookmarkEnd w:id="3"/>
    </w:p>
    <w:p w14:paraId="6FD836CA" w14:textId="77777777" w:rsidR="009D7DDF" w:rsidRDefault="00000000">
      <w:r>
        <w:tab/>
        <w:t xml:space="preserve">The financial aid office checks student academic progress after completion of each term. </w:t>
      </w:r>
    </w:p>
    <w:p w14:paraId="54BAD9E2" w14:textId="77777777" w:rsidR="009D7DDF" w:rsidRDefault="009D7DDF"/>
    <w:p w14:paraId="1F4583F4" w14:textId="77777777" w:rsidR="009D7DDF" w:rsidRDefault="00000000">
      <w:r>
        <w:tab/>
        <w:t>Academic Progress Standards:</w:t>
      </w:r>
    </w:p>
    <w:p w14:paraId="48E3DABE" w14:textId="77777777" w:rsidR="009D7DDF" w:rsidRDefault="009D7DDF"/>
    <w:p w14:paraId="684B8037" w14:textId="77777777" w:rsidR="009D7DDF" w:rsidRDefault="00000000">
      <w:pPr>
        <w:numPr>
          <w:ilvl w:val="0"/>
          <w:numId w:val="1"/>
        </w:numPr>
        <w:pBdr>
          <w:top w:val="nil"/>
          <w:left w:val="nil"/>
          <w:bottom w:val="nil"/>
          <w:right w:val="nil"/>
          <w:between w:val="nil"/>
        </w:pBdr>
      </w:pPr>
      <w:r>
        <w:rPr>
          <w:rFonts w:eastAsia="Arial"/>
          <w:color w:val="000000"/>
        </w:rPr>
        <w:t xml:space="preserve">Completion Rate (70% Rule): Students must receive a satisfactory grade in courses attempted by completing at least 70% of the points for which they are enrolled. This percentage is calculated by dividing the number of points earned by the number of points attempted for the program. All withdrawals, failures and incompletes are counted as attempted, but not earned points. </w:t>
      </w:r>
    </w:p>
    <w:p w14:paraId="3382ABFA" w14:textId="77777777" w:rsidR="009D7DDF" w:rsidRDefault="009D7DDF">
      <w:pPr>
        <w:pBdr>
          <w:top w:val="nil"/>
          <w:left w:val="nil"/>
          <w:bottom w:val="nil"/>
          <w:right w:val="nil"/>
          <w:between w:val="nil"/>
        </w:pBdr>
        <w:ind w:left="924" w:firstLine="0"/>
        <w:rPr>
          <w:rFonts w:eastAsia="Arial"/>
          <w:color w:val="000000"/>
        </w:rPr>
      </w:pPr>
    </w:p>
    <w:p w14:paraId="370C622C" w14:textId="77777777" w:rsidR="009D7DDF" w:rsidRDefault="00000000">
      <w:pPr>
        <w:pBdr>
          <w:top w:val="nil"/>
          <w:left w:val="nil"/>
          <w:bottom w:val="nil"/>
          <w:right w:val="nil"/>
          <w:between w:val="nil"/>
        </w:pBdr>
        <w:ind w:left="924" w:firstLine="0"/>
        <w:rPr>
          <w:rFonts w:eastAsia="Arial"/>
          <w:color w:val="000000"/>
        </w:rPr>
      </w:pPr>
      <w:r>
        <w:rPr>
          <w:rFonts w:eastAsia="Arial"/>
          <w:color w:val="000000"/>
        </w:rPr>
        <w:t xml:space="preserve">Exception to the 70% Rule: It is important to note that this completion rule applies to Title IV financial aid. However, specific grant and scholarship aid programs may mandate a higher completion rate. </w:t>
      </w:r>
    </w:p>
    <w:p w14:paraId="711F0F58" w14:textId="77777777" w:rsidR="009D7DDF" w:rsidRDefault="00000000">
      <w:r>
        <w:tab/>
      </w:r>
    </w:p>
    <w:p w14:paraId="4F9C893F" w14:textId="77777777" w:rsidR="009D7DDF" w:rsidRDefault="00000000">
      <w:pPr>
        <w:numPr>
          <w:ilvl w:val="0"/>
          <w:numId w:val="1"/>
        </w:numPr>
        <w:pBdr>
          <w:top w:val="nil"/>
          <w:left w:val="nil"/>
          <w:bottom w:val="nil"/>
          <w:right w:val="nil"/>
          <w:between w:val="nil"/>
        </w:pBdr>
      </w:pPr>
      <w:r>
        <w:rPr>
          <w:rFonts w:eastAsia="Arial"/>
          <w:color w:val="000000"/>
        </w:rPr>
        <w:t>Cumulative GPA Minimum Requirements (GPA Rule): The school has established the following cumulative grade point average (GPA) standards - 4.0 or A (90-100%); 3.0 or B (80-89%); 2.0 or C (70-79%).  If a student’s cumulative GPA falls below a 2.0 or C standard, s/he will fail to meet the school’s academic progress standards.</w:t>
      </w:r>
    </w:p>
    <w:p w14:paraId="434A0D7A" w14:textId="77777777" w:rsidR="009D7DDF" w:rsidRDefault="00000000">
      <w:pPr>
        <w:pBdr>
          <w:top w:val="nil"/>
          <w:left w:val="nil"/>
          <w:bottom w:val="nil"/>
          <w:right w:val="nil"/>
          <w:between w:val="nil"/>
        </w:pBdr>
        <w:ind w:left="924" w:firstLine="0"/>
        <w:rPr>
          <w:rFonts w:eastAsia="Arial"/>
          <w:color w:val="000000"/>
        </w:rPr>
      </w:pPr>
      <w:r>
        <w:rPr>
          <w:rFonts w:eastAsia="Arial"/>
          <w:color w:val="000000"/>
        </w:rPr>
        <w:t xml:space="preserve"> </w:t>
      </w:r>
    </w:p>
    <w:p w14:paraId="0AF3E820" w14:textId="77777777" w:rsidR="009D7DDF" w:rsidRDefault="00000000">
      <w:pPr>
        <w:numPr>
          <w:ilvl w:val="0"/>
          <w:numId w:val="1"/>
        </w:numPr>
        <w:pBdr>
          <w:top w:val="nil"/>
          <w:left w:val="nil"/>
          <w:bottom w:val="nil"/>
          <w:right w:val="nil"/>
          <w:between w:val="nil"/>
        </w:pBdr>
      </w:pPr>
      <w:r>
        <w:rPr>
          <w:rFonts w:eastAsia="Arial"/>
          <w:color w:val="000000"/>
        </w:rPr>
        <w:t>Each student enrols in a program with a set curriculum of courses to be taken each term; students may withdraw and then repeat a course 1x only due to an urgent life or family situation.</w:t>
      </w:r>
    </w:p>
    <w:p w14:paraId="4A1CCF31" w14:textId="77777777" w:rsidR="009D7DDF" w:rsidRDefault="00000000">
      <w:pPr>
        <w:ind w:left="0" w:firstLine="0"/>
      </w:pPr>
      <w:r>
        <w:tab/>
      </w:r>
    </w:p>
    <w:p w14:paraId="4E457426" w14:textId="77777777" w:rsidR="009D7DDF" w:rsidRDefault="00000000">
      <w:pPr>
        <w:numPr>
          <w:ilvl w:val="0"/>
          <w:numId w:val="1"/>
        </w:numPr>
        <w:pBdr>
          <w:top w:val="nil"/>
          <w:left w:val="nil"/>
          <w:bottom w:val="nil"/>
          <w:right w:val="nil"/>
          <w:between w:val="nil"/>
        </w:pBdr>
      </w:pPr>
      <w:r>
        <w:rPr>
          <w:rFonts w:eastAsia="Arial"/>
          <w:color w:val="000000"/>
        </w:rPr>
        <w:t xml:space="preserve">Any student who fails to meet the Academic Progress Standards listed above will be placed on Academic Warning at the end of the class by the Administrator. If a student on Academic Warning achieves a cumulative 2.0 grade point average or higher at the conclusion of the term, the Administrator will remove the student from Academic Warning status. </w:t>
      </w:r>
    </w:p>
    <w:p w14:paraId="5985BE7A" w14:textId="77777777" w:rsidR="009D7DDF" w:rsidRDefault="009D7DDF">
      <w:pPr>
        <w:pBdr>
          <w:top w:val="nil"/>
          <w:left w:val="nil"/>
          <w:bottom w:val="nil"/>
          <w:right w:val="nil"/>
          <w:between w:val="nil"/>
        </w:pBdr>
        <w:ind w:left="720" w:hanging="720"/>
        <w:rPr>
          <w:rFonts w:eastAsia="Arial"/>
          <w:color w:val="000000"/>
        </w:rPr>
      </w:pPr>
    </w:p>
    <w:p w14:paraId="7AE94501" w14:textId="77777777" w:rsidR="009D7DDF" w:rsidRDefault="00000000">
      <w:pPr>
        <w:numPr>
          <w:ilvl w:val="0"/>
          <w:numId w:val="1"/>
        </w:numPr>
        <w:pBdr>
          <w:top w:val="nil"/>
          <w:left w:val="nil"/>
          <w:bottom w:val="nil"/>
          <w:right w:val="nil"/>
          <w:between w:val="nil"/>
        </w:pBdr>
      </w:pPr>
      <w:r>
        <w:rPr>
          <w:rFonts w:eastAsia="Arial"/>
          <w:color w:val="000000"/>
        </w:rPr>
        <w:t xml:space="preserve">If a student on Academic Warning fails to meet Academic Progress Standards at the conclusion of any subsequent semester, s/he will be placed on academic leave from the school. Appeal of Satisfactory Academic Progress Decisions Students who faced mitigating circumstances that may have affected their academic progress may appeal a satisfactory academic progress decision. Mitigating circumstances include: experiencing a serious illness or accident; the death, accident or serious illness of an immediate family member; or other mitigating circumstances beyond the student’s control. </w:t>
      </w:r>
    </w:p>
    <w:p w14:paraId="62092CC6" w14:textId="77777777" w:rsidR="009D7DDF" w:rsidRDefault="009D7DDF">
      <w:pPr>
        <w:pBdr>
          <w:top w:val="nil"/>
          <w:left w:val="nil"/>
          <w:bottom w:val="nil"/>
          <w:right w:val="nil"/>
          <w:between w:val="nil"/>
        </w:pBdr>
        <w:ind w:left="720" w:hanging="720"/>
        <w:rPr>
          <w:rFonts w:eastAsia="Arial"/>
          <w:color w:val="000000"/>
        </w:rPr>
      </w:pPr>
    </w:p>
    <w:p w14:paraId="15079A0C" w14:textId="77777777" w:rsidR="009D7DDF" w:rsidRDefault="00000000">
      <w:pPr>
        <w:pBdr>
          <w:top w:val="nil"/>
          <w:left w:val="nil"/>
          <w:bottom w:val="nil"/>
          <w:right w:val="nil"/>
          <w:between w:val="nil"/>
        </w:pBdr>
        <w:ind w:left="924" w:firstLine="0"/>
        <w:rPr>
          <w:rFonts w:eastAsia="Arial"/>
          <w:color w:val="000000"/>
        </w:rPr>
      </w:pPr>
      <w:r>
        <w:rPr>
          <w:rFonts w:eastAsia="Arial"/>
          <w:color w:val="000000"/>
        </w:rPr>
        <w:lastRenderedPageBreak/>
        <w:t xml:space="preserve">Poor time management, feeling “unprepared for school,” or other circumstances that are in a student’s control will not be accepted as mitigating circumstances. To appeal, a student must complete the Satisfactory Academic Progress Appeal Form, provide acceptable supporting documentation, and complete all required steps outlined on the form. </w:t>
      </w:r>
    </w:p>
    <w:p w14:paraId="5FAD8A56" w14:textId="77777777" w:rsidR="009D7DDF" w:rsidRDefault="009D7DDF">
      <w:pPr>
        <w:pBdr>
          <w:top w:val="nil"/>
          <w:left w:val="nil"/>
          <w:bottom w:val="nil"/>
          <w:right w:val="nil"/>
          <w:between w:val="nil"/>
        </w:pBdr>
        <w:ind w:left="924" w:firstLine="0"/>
        <w:rPr>
          <w:rFonts w:eastAsia="Arial"/>
          <w:color w:val="000000"/>
        </w:rPr>
      </w:pPr>
    </w:p>
    <w:p w14:paraId="1FA0E620" w14:textId="77777777" w:rsidR="009D7DDF" w:rsidRDefault="00000000">
      <w:pPr>
        <w:pBdr>
          <w:top w:val="nil"/>
          <w:left w:val="nil"/>
          <w:bottom w:val="nil"/>
          <w:right w:val="nil"/>
          <w:between w:val="nil"/>
        </w:pBdr>
        <w:ind w:left="924" w:firstLine="0"/>
        <w:rPr>
          <w:rFonts w:eastAsia="Arial"/>
          <w:color w:val="000000"/>
        </w:rPr>
      </w:pPr>
      <w:r>
        <w:rPr>
          <w:rFonts w:eastAsia="Arial"/>
          <w:color w:val="000000"/>
        </w:rPr>
        <w:t xml:space="preserve">Students may submit a letter of appeal regarding the decision of the Administrator who will submit it to the Educational Consultant for review &amp; whose decision will be considered final. If a student’s appeal is approved, in order to continue receiving student aid the student must develop (with the Administrator) and follow an academic plan while successfully meeting the school’s Cumulative GPA Minimum Requirements and Course Grade Requirements. </w:t>
      </w:r>
    </w:p>
    <w:p w14:paraId="7AA92E24" w14:textId="77777777" w:rsidR="009D7DDF" w:rsidRDefault="009D7DDF">
      <w:pPr>
        <w:pBdr>
          <w:top w:val="nil"/>
          <w:left w:val="nil"/>
          <w:bottom w:val="nil"/>
          <w:right w:val="nil"/>
          <w:between w:val="nil"/>
        </w:pBdr>
        <w:ind w:left="924" w:firstLine="0"/>
        <w:rPr>
          <w:rFonts w:eastAsia="Arial"/>
          <w:color w:val="000000"/>
        </w:rPr>
      </w:pPr>
    </w:p>
    <w:p w14:paraId="475C1716" w14:textId="77777777" w:rsidR="009D7DDF" w:rsidRDefault="00000000">
      <w:pPr>
        <w:pBdr>
          <w:top w:val="nil"/>
          <w:left w:val="nil"/>
          <w:bottom w:val="nil"/>
          <w:right w:val="nil"/>
          <w:between w:val="nil"/>
        </w:pBdr>
        <w:ind w:left="924" w:firstLine="0"/>
        <w:rPr>
          <w:rFonts w:eastAsia="Arial"/>
          <w:color w:val="000000"/>
        </w:rPr>
      </w:pPr>
      <w:r>
        <w:rPr>
          <w:rFonts w:eastAsia="Arial"/>
          <w:color w:val="000000"/>
        </w:rPr>
        <w:t xml:space="preserve">Failure to follow the plan and successfully meet the school’s stated requirements will result in enrolment termination. Regaining Financial Aid Eligibility, if a student does not meet satisfactory academic progress requirements but continues to meet the school’s Cumulative GPA Minimum Requirements and Course Grade Requirements, s/he may continue his enrolment at the school without federal or state financial aid assistance. At the end of the semester and/or the year, the school will review the student’s academic progress and, if all progress requirements are met, the student’s financial aid eligibility will be reinstated for subsequent semesters. </w:t>
      </w:r>
    </w:p>
    <w:p w14:paraId="32EE7225" w14:textId="77777777" w:rsidR="009D7DDF" w:rsidRDefault="009D7DDF">
      <w:pPr>
        <w:pBdr>
          <w:top w:val="nil"/>
          <w:left w:val="nil"/>
          <w:bottom w:val="nil"/>
          <w:right w:val="nil"/>
          <w:between w:val="nil"/>
        </w:pBdr>
        <w:ind w:left="924" w:firstLine="0"/>
        <w:rPr>
          <w:rFonts w:eastAsia="Arial"/>
          <w:color w:val="000000"/>
        </w:rPr>
      </w:pPr>
    </w:p>
    <w:p w14:paraId="009DD667" w14:textId="77777777" w:rsidR="009D7DDF" w:rsidRDefault="009D7DDF">
      <w:pPr>
        <w:ind w:left="0" w:firstLine="0"/>
      </w:pPr>
    </w:p>
    <w:p w14:paraId="4236E28B" w14:textId="77777777" w:rsidR="009D7DDF" w:rsidRDefault="009D7DDF">
      <w:pPr>
        <w:pBdr>
          <w:top w:val="nil"/>
          <w:left w:val="nil"/>
          <w:bottom w:val="nil"/>
          <w:right w:val="nil"/>
          <w:between w:val="nil"/>
        </w:pBdr>
        <w:ind w:left="924" w:firstLine="0"/>
        <w:rPr>
          <w:rFonts w:eastAsia="Arial"/>
          <w:color w:val="000000"/>
        </w:rPr>
      </w:pPr>
    </w:p>
    <w:p w14:paraId="4E9DC005" w14:textId="77777777" w:rsidR="009D7DDF" w:rsidRDefault="009D7DDF">
      <w:pPr>
        <w:pBdr>
          <w:top w:val="nil"/>
          <w:left w:val="nil"/>
          <w:bottom w:val="nil"/>
          <w:right w:val="nil"/>
          <w:between w:val="nil"/>
        </w:pBdr>
        <w:ind w:left="924" w:firstLine="0"/>
        <w:rPr>
          <w:rFonts w:eastAsia="Arial"/>
          <w:color w:val="000000"/>
        </w:rPr>
      </w:pPr>
    </w:p>
    <w:p w14:paraId="14DC56BC" w14:textId="77777777" w:rsidR="009D7DDF" w:rsidRDefault="009D7DDF">
      <w:pPr>
        <w:pBdr>
          <w:top w:val="nil"/>
          <w:left w:val="nil"/>
          <w:bottom w:val="nil"/>
          <w:right w:val="nil"/>
          <w:between w:val="nil"/>
        </w:pBdr>
        <w:ind w:left="924" w:firstLine="0"/>
        <w:rPr>
          <w:rFonts w:eastAsia="Arial"/>
          <w:color w:val="000000"/>
        </w:rPr>
      </w:pPr>
    </w:p>
    <w:p w14:paraId="63F838BF" w14:textId="77777777" w:rsidR="009D7DDF" w:rsidRDefault="009D7DDF">
      <w:pPr>
        <w:pBdr>
          <w:top w:val="nil"/>
          <w:left w:val="nil"/>
          <w:bottom w:val="nil"/>
          <w:right w:val="nil"/>
          <w:between w:val="nil"/>
        </w:pBdr>
        <w:ind w:left="924" w:firstLine="0"/>
        <w:rPr>
          <w:rFonts w:eastAsia="Arial"/>
          <w:color w:val="000000"/>
        </w:rPr>
      </w:pPr>
    </w:p>
    <w:p w14:paraId="44A5D80B" w14:textId="77777777" w:rsidR="009D7DDF" w:rsidRDefault="009D7DDF">
      <w:pPr>
        <w:pBdr>
          <w:top w:val="nil"/>
          <w:left w:val="nil"/>
          <w:bottom w:val="nil"/>
          <w:right w:val="nil"/>
          <w:between w:val="nil"/>
        </w:pBdr>
        <w:ind w:left="924" w:firstLine="0"/>
        <w:rPr>
          <w:rFonts w:eastAsia="Arial"/>
          <w:color w:val="000000"/>
        </w:rPr>
      </w:pPr>
    </w:p>
    <w:p w14:paraId="295E03FA" w14:textId="77777777" w:rsidR="009D7DDF" w:rsidRDefault="009D7DDF">
      <w:pPr>
        <w:pBdr>
          <w:top w:val="nil"/>
          <w:left w:val="nil"/>
          <w:bottom w:val="nil"/>
          <w:right w:val="nil"/>
          <w:between w:val="nil"/>
        </w:pBdr>
        <w:ind w:left="924" w:firstLine="0"/>
        <w:rPr>
          <w:rFonts w:eastAsia="Arial"/>
          <w:color w:val="000000"/>
        </w:rPr>
      </w:pPr>
    </w:p>
    <w:p w14:paraId="16CB4977" w14:textId="77777777" w:rsidR="009D7DDF" w:rsidRDefault="009D7DDF">
      <w:pPr>
        <w:pBdr>
          <w:top w:val="nil"/>
          <w:left w:val="nil"/>
          <w:bottom w:val="nil"/>
          <w:right w:val="nil"/>
          <w:between w:val="nil"/>
        </w:pBdr>
        <w:ind w:left="924" w:firstLine="0"/>
        <w:rPr>
          <w:rFonts w:eastAsia="Arial"/>
          <w:color w:val="000000"/>
        </w:rPr>
      </w:pPr>
    </w:p>
    <w:p w14:paraId="0FCE2430" w14:textId="77777777" w:rsidR="009D7DDF" w:rsidRDefault="009D7DDF"/>
    <w:p w14:paraId="724F03A0" w14:textId="77777777" w:rsidR="009D7DDF" w:rsidRDefault="00000000">
      <w:pPr>
        <w:pStyle w:val="Heading1"/>
        <w:numPr>
          <w:ilvl w:val="0"/>
          <w:numId w:val="2"/>
        </w:numPr>
        <w:tabs>
          <w:tab w:val="left" w:pos="567"/>
        </w:tabs>
      </w:pPr>
      <w:bookmarkStart w:id="4" w:name="_heading=h.2et92p0" w:colFirst="0" w:colLast="0"/>
      <w:bookmarkEnd w:id="4"/>
      <w:r>
        <w:t>APPROVAL AND REVIEW DETAILS</w:t>
      </w:r>
    </w:p>
    <w:p w14:paraId="5C4B082F" w14:textId="77777777" w:rsidR="009D7DDF" w:rsidRDefault="009D7DDF"/>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9D7DDF" w14:paraId="5D526364" w14:textId="77777777">
        <w:tc>
          <w:tcPr>
            <w:tcW w:w="3232" w:type="dxa"/>
            <w:shd w:val="clear" w:color="auto" w:fill="D9D9D9"/>
          </w:tcPr>
          <w:p w14:paraId="4585E50A" w14:textId="77777777" w:rsidR="009D7DDF" w:rsidRDefault="00000000">
            <w:pPr>
              <w:spacing w:after="120"/>
              <w:ind w:left="0" w:firstLine="0"/>
              <w:rPr>
                <w:b/>
              </w:rPr>
            </w:pPr>
            <w:r>
              <w:rPr>
                <w:b/>
              </w:rPr>
              <w:t>Approval and Review</w:t>
            </w:r>
          </w:p>
        </w:tc>
        <w:tc>
          <w:tcPr>
            <w:tcW w:w="6520" w:type="dxa"/>
            <w:shd w:val="clear" w:color="auto" w:fill="D9D9D9"/>
          </w:tcPr>
          <w:p w14:paraId="3CB0950A" w14:textId="77777777" w:rsidR="009D7DDF" w:rsidRDefault="00000000">
            <w:pPr>
              <w:rPr>
                <w:b/>
              </w:rPr>
            </w:pPr>
            <w:r>
              <w:rPr>
                <w:b/>
              </w:rPr>
              <w:t>Details</w:t>
            </w:r>
          </w:p>
        </w:tc>
      </w:tr>
      <w:tr w:rsidR="009D7DDF" w14:paraId="3E62A983" w14:textId="77777777">
        <w:tc>
          <w:tcPr>
            <w:tcW w:w="3232" w:type="dxa"/>
            <w:shd w:val="clear" w:color="auto" w:fill="FFFFFF"/>
          </w:tcPr>
          <w:p w14:paraId="3CBBED76" w14:textId="77777777" w:rsidR="009D7DDF" w:rsidRDefault="00000000">
            <w:pPr>
              <w:ind w:left="0" w:firstLine="0"/>
              <w:rPr>
                <w:sz w:val="18"/>
                <w:szCs w:val="18"/>
              </w:rPr>
            </w:pPr>
            <w:r>
              <w:rPr>
                <w:sz w:val="18"/>
                <w:szCs w:val="18"/>
              </w:rPr>
              <w:t>Approval Authority</w:t>
            </w:r>
          </w:p>
        </w:tc>
        <w:tc>
          <w:tcPr>
            <w:tcW w:w="6520" w:type="dxa"/>
          </w:tcPr>
          <w:p w14:paraId="1091A48F" w14:textId="77777777" w:rsidR="009D7DDF" w:rsidRDefault="00000000">
            <w:pPr>
              <w:ind w:left="0" w:firstLine="0"/>
              <w:rPr>
                <w:color w:val="2F5496"/>
                <w:sz w:val="18"/>
                <w:szCs w:val="18"/>
              </w:rPr>
            </w:pPr>
            <w:r>
              <w:rPr>
                <w:color w:val="2F5496"/>
                <w:sz w:val="18"/>
                <w:szCs w:val="18"/>
              </w:rPr>
              <w:t>8/4/19</w:t>
            </w:r>
          </w:p>
        </w:tc>
      </w:tr>
      <w:tr w:rsidR="009D7DDF" w14:paraId="44491E7D" w14:textId="77777777">
        <w:tc>
          <w:tcPr>
            <w:tcW w:w="3232" w:type="dxa"/>
            <w:shd w:val="clear" w:color="auto" w:fill="FFFFFF"/>
          </w:tcPr>
          <w:p w14:paraId="6A0DDCD4" w14:textId="77777777" w:rsidR="009D7DDF" w:rsidRDefault="00000000">
            <w:pPr>
              <w:ind w:left="0" w:firstLine="0"/>
              <w:rPr>
                <w:sz w:val="18"/>
                <w:szCs w:val="18"/>
              </w:rPr>
            </w:pPr>
            <w:r>
              <w:rPr>
                <w:sz w:val="18"/>
                <w:szCs w:val="18"/>
              </w:rPr>
              <w:t>Advisory Committee to Approval Authority</w:t>
            </w:r>
          </w:p>
        </w:tc>
        <w:tc>
          <w:tcPr>
            <w:tcW w:w="6520" w:type="dxa"/>
          </w:tcPr>
          <w:p w14:paraId="30DDB3D7" w14:textId="77777777" w:rsidR="009D7DDF" w:rsidRDefault="00000000">
            <w:pPr>
              <w:ind w:left="0" w:firstLine="0"/>
              <w:rPr>
                <w:color w:val="2F5496"/>
                <w:sz w:val="18"/>
                <w:szCs w:val="18"/>
              </w:rPr>
            </w:pPr>
            <w:r>
              <w:rPr>
                <w:color w:val="2F5496"/>
                <w:sz w:val="18"/>
                <w:szCs w:val="18"/>
              </w:rPr>
              <w:t>8/4/19</w:t>
            </w:r>
          </w:p>
        </w:tc>
      </w:tr>
      <w:tr w:rsidR="009D7DDF" w14:paraId="229CF755" w14:textId="77777777">
        <w:tc>
          <w:tcPr>
            <w:tcW w:w="3232" w:type="dxa"/>
            <w:shd w:val="clear" w:color="auto" w:fill="FFFFFF"/>
          </w:tcPr>
          <w:p w14:paraId="44238404" w14:textId="77777777" w:rsidR="009D7DDF" w:rsidRDefault="00000000">
            <w:pPr>
              <w:ind w:left="0" w:firstLine="0"/>
              <w:rPr>
                <w:sz w:val="18"/>
                <w:szCs w:val="18"/>
              </w:rPr>
            </w:pPr>
            <w:r>
              <w:rPr>
                <w:sz w:val="18"/>
                <w:szCs w:val="18"/>
              </w:rPr>
              <w:t>Administrator</w:t>
            </w:r>
          </w:p>
        </w:tc>
        <w:tc>
          <w:tcPr>
            <w:tcW w:w="6520" w:type="dxa"/>
          </w:tcPr>
          <w:p w14:paraId="218C68CB" w14:textId="5516FA7C" w:rsidR="009D7DDF" w:rsidRDefault="00000000">
            <w:pPr>
              <w:ind w:left="0" w:firstLine="0"/>
              <w:rPr>
                <w:color w:val="2F5496"/>
                <w:sz w:val="18"/>
                <w:szCs w:val="18"/>
              </w:rPr>
            </w:pPr>
            <w:r>
              <w:rPr>
                <w:color w:val="2F5496"/>
                <w:sz w:val="18"/>
                <w:szCs w:val="18"/>
              </w:rPr>
              <w:t>8/4/19; 3/30/2021</w:t>
            </w:r>
            <w:r w:rsidR="00AD5A05">
              <w:rPr>
                <w:color w:val="2F5496"/>
                <w:sz w:val="18"/>
                <w:szCs w:val="18"/>
              </w:rPr>
              <w:t>, 3/29/24</w:t>
            </w:r>
          </w:p>
        </w:tc>
      </w:tr>
      <w:tr w:rsidR="009D7DDF" w14:paraId="1CF4A350" w14:textId="77777777">
        <w:tc>
          <w:tcPr>
            <w:tcW w:w="3232" w:type="dxa"/>
            <w:tcBorders>
              <w:bottom w:val="single" w:sz="4" w:space="0" w:color="000000"/>
            </w:tcBorders>
            <w:shd w:val="clear" w:color="auto" w:fill="FFFFFF"/>
          </w:tcPr>
          <w:p w14:paraId="7AC94B92" w14:textId="77777777" w:rsidR="009D7DDF" w:rsidRDefault="00000000">
            <w:pPr>
              <w:ind w:left="0" w:firstLine="0"/>
              <w:rPr>
                <w:sz w:val="18"/>
                <w:szCs w:val="18"/>
              </w:rPr>
            </w:pPr>
            <w:r>
              <w:rPr>
                <w:sz w:val="18"/>
                <w:szCs w:val="18"/>
              </w:rPr>
              <w:t>Next Review Date</w:t>
            </w:r>
          </w:p>
        </w:tc>
        <w:tc>
          <w:tcPr>
            <w:tcW w:w="6520" w:type="dxa"/>
            <w:tcBorders>
              <w:bottom w:val="single" w:sz="4" w:space="0" w:color="000000"/>
            </w:tcBorders>
          </w:tcPr>
          <w:p w14:paraId="17651C20" w14:textId="6F24CC9F" w:rsidR="009D7DDF" w:rsidRDefault="00000000">
            <w:pPr>
              <w:ind w:left="0" w:firstLine="0"/>
              <w:rPr>
                <w:color w:val="2F5496"/>
                <w:sz w:val="18"/>
                <w:szCs w:val="18"/>
              </w:rPr>
            </w:pPr>
            <w:r>
              <w:rPr>
                <w:color w:val="2F5496"/>
                <w:sz w:val="18"/>
                <w:szCs w:val="18"/>
              </w:rPr>
              <w:t>4/1/202</w:t>
            </w:r>
            <w:r w:rsidR="00AD5A05">
              <w:rPr>
                <w:color w:val="2F5496"/>
                <w:sz w:val="18"/>
                <w:szCs w:val="18"/>
              </w:rPr>
              <w:t>5</w:t>
            </w:r>
          </w:p>
        </w:tc>
      </w:tr>
    </w:tbl>
    <w:p w14:paraId="7029E390" w14:textId="77777777" w:rsidR="009D7DDF" w:rsidRDefault="009D7DDF">
      <w:pPr>
        <w:ind w:left="0" w:firstLine="0"/>
        <w:rPr>
          <w:color w:val="2F5496"/>
        </w:rPr>
      </w:pPr>
      <w:bookmarkStart w:id="5" w:name="bookmark=id.tyjcwt" w:colFirst="0" w:colLast="0"/>
      <w:bookmarkEnd w:id="5"/>
    </w:p>
    <w:sectPr w:rsidR="009D7DDF">
      <w:footerReference w:type="default" r:id="rId9"/>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282B" w14:textId="77777777" w:rsidR="00B41B9C" w:rsidRDefault="00B41B9C">
      <w:r>
        <w:separator/>
      </w:r>
    </w:p>
  </w:endnote>
  <w:endnote w:type="continuationSeparator" w:id="0">
    <w:p w14:paraId="3C17755C" w14:textId="77777777" w:rsidR="00B41B9C" w:rsidRDefault="00B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C23C" w14:textId="77777777" w:rsidR="009D7DDF"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Financial Aid &amp; Satisfactory Academic Progress Policy and Procedure</w:t>
    </w:r>
    <w:r>
      <w:rPr>
        <w:rFonts w:eastAsia="Arial"/>
        <w:color w:val="000000"/>
        <w:sz w:val="18"/>
        <w:szCs w:val="18"/>
      </w:rPr>
      <w:tab/>
      <w:t>Effective Date: 3/30/2021</w:t>
    </w:r>
  </w:p>
  <w:p w14:paraId="58B73D08" w14:textId="77777777" w:rsidR="009D7DDF"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05 </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AD5A05">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AD5A05">
      <w:rPr>
        <w:rFonts w:eastAsia="Arial"/>
        <w:noProof/>
        <w:color w:val="000000"/>
        <w:sz w:val="18"/>
        <w:szCs w:val="18"/>
      </w:rPr>
      <w:t>2</w:t>
    </w:r>
    <w:r>
      <w:rPr>
        <w:rFonts w:eastAsia="Arial"/>
        <w:color w:val="000000"/>
        <w:sz w:val="18"/>
        <w:szCs w:val="18"/>
      </w:rPr>
      <w:fldChar w:fldCharType="end"/>
    </w:r>
  </w:p>
  <w:p w14:paraId="08AD2F74" w14:textId="77777777" w:rsidR="009D7DDF" w:rsidRDefault="009D7DDF">
    <w:pPr>
      <w:pBdr>
        <w:top w:val="nil"/>
        <w:left w:val="nil"/>
        <w:bottom w:val="nil"/>
        <w:right w:val="nil"/>
        <w:between w:val="nil"/>
      </w:pBdr>
      <w:tabs>
        <w:tab w:val="center" w:pos="4513"/>
        <w:tab w:val="right" w:pos="9026"/>
        <w:tab w:val="right" w:pos="10204"/>
      </w:tabs>
      <w:rPr>
        <w:rFonts w:eastAsia="Arial"/>
        <w:color w:val="000000"/>
        <w:sz w:val="18"/>
        <w:szCs w:val="18"/>
      </w:rPr>
    </w:pPr>
  </w:p>
  <w:p w14:paraId="77023CEB" w14:textId="77777777" w:rsidR="009D7DDF"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2BE80406" w14:textId="77777777" w:rsidR="009D7DDF" w:rsidRDefault="009D7DDF">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40DF" w14:textId="77777777" w:rsidR="00B41B9C" w:rsidRDefault="00B41B9C">
      <w:r>
        <w:separator/>
      </w:r>
    </w:p>
  </w:footnote>
  <w:footnote w:type="continuationSeparator" w:id="0">
    <w:p w14:paraId="0CBE983E" w14:textId="77777777" w:rsidR="00B41B9C" w:rsidRDefault="00B41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0CAE"/>
    <w:multiLevelType w:val="multilevel"/>
    <w:tmpl w:val="5E4C1170"/>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5454533D"/>
    <w:multiLevelType w:val="multilevel"/>
    <w:tmpl w:val="2A5E9EAC"/>
    <w:lvl w:ilvl="0">
      <w:start w:val="1"/>
      <w:numFmt w:val="upperLetter"/>
      <w:pStyle w:val="Heading1"/>
      <w:lvlText w:val="%1."/>
      <w:lvlJc w:val="left"/>
      <w:pPr>
        <w:ind w:left="924" w:hanging="360"/>
      </w:pPr>
    </w:lvl>
    <w:lvl w:ilvl="1">
      <w:start w:val="1"/>
      <w:numFmt w:val="lowerLetter"/>
      <w:lvlText w:val="%2."/>
      <w:lvlJc w:val="left"/>
      <w:pPr>
        <w:ind w:left="1644" w:hanging="360"/>
      </w:pPr>
    </w:lvl>
    <w:lvl w:ilvl="2">
      <w:start w:val="1"/>
      <w:numFmt w:val="lowerRoman"/>
      <w:lvlText w:val="%3."/>
      <w:lvlJc w:val="right"/>
      <w:pPr>
        <w:ind w:left="2364" w:hanging="180"/>
      </w:pPr>
    </w:lvl>
    <w:lvl w:ilvl="3">
      <w:start w:val="1"/>
      <w:numFmt w:val="decimal"/>
      <w:lvlText w:val="%4."/>
      <w:lvlJc w:val="left"/>
      <w:pPr>
        <w:ind w:left="3084" w:hanging="360"/>
      </w:pPr>
    </w:lvl>
    <w:lvl w:ilvl="4">
      <w:start w:val="1"/>
      <w:numFmt w:val="lowerLetter"/>
      <w:lvlText w:val="%5."/>
      <w:lvlJc w:val="left"/>
      <w:pPr>
        <w:ind w:left="3804" w:hanging="360"/>
      </w:pPr>
    </w:lvl>
    <w:lvl w:ilvl="5">
      <w:start w:val="1"/>
      <w:numFmt w:val="lowerRoman"/>
      <w:lvlText w:val="%6."/>
      <w:lvlJc w:val="right"/>
      <w:pPr>
        <w:ind w:left="4524" w:hanging="180"/>
      </w:pPr>
    </w:lvl>
    <w:lvl w:ilvl="6">
      <w:start w:val="1"/>
      <w:numFmt w:val="decimal"/>
      <w:lvlText w:val="%7."/>
      <w:lvlJc w:val="left"/>
      <w:pPr>
        <w:ind w:left="5244" w:hanging="360"/>
      </w:pPr>
    </w:lvl>
    <w:lvl w:ilvl="7">
      <w:start w:val="1"/>
      <w:numFmt w:val="lowerLetter"/>
      <w:lvlText w:val="%8."/>
      <w:lvlJc w:val="left"/>
      <w:pPr>
        <w:ind w:left="5964" w:hanging="360"/>
      </w:pPr>
    </w:lvl>
    <w:lvl w:ilvl="8">
      <w:start w:val="1"/>
      <w:numFmt w:val="lowerRoman"/>
      <w:lvlText w:val="%9."/>
      <w:lvlJc w:val="right"/>
      <w:pPr>
        <w:ind w:left="6684" w:hanging="180"/>
      </w:pPr>
    </w:lvl>
  </w:abstractNum>
  <w:num w:numId="1" w16cid:durableId="1419330369">
    <w:abstractNumId w:val="1"/>
  </w:num>
  <w:num w:numId="2" w16cid:durableId="26360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DF"/>
    <w:rsid w:val="009D7DDF"/>
    <w:rsid w:val="00AD5A05"/>
    <w:rsid w:val="00B4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BB21"/>
  <w15:docId w15:val="{16FC9964-2CCA-4B05-9239-5461972B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semiHidden/>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semiHidden/>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semiHidden/>
    <w:unhideWhenUsed/>
    <w:rsid w:val="006940E9"/>
    <w:pPr>
      <w:tabs>
        <w:tab w:val="clear" w:pos="567"/>
      </w:tabs>
      <w:spacing w:before="100" w:beforeAutospacing="1" w:after="100" w:afterAutospacing="1"/>
      <w:ind w:left="0" w:firstLine="0"/>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940E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tPgdb6c2jeqJgKDmg1VCjdSvg==">AMUW2mWZjUiLbHywJU+lqZpJp+lC/ntbXyTKnUjh1HuIshPxBB26YUOeSpbloXGa29mh+h4dluJi1VYpg5V5SK3eaFauK2q4wCgBpiDjdwA/mQB3b/yx3gr7lbeviVrv0/CNYl9YygtME21OOss5D6bSLAYULZuLuy2xfhhqYav99V6aVHnJS7K+OYAFk4Yr0F04y8RdkMyV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2024-04-08T02:02:00Z</dcterms:created>
  <dcterms:modified xsi:type="dcterms:W3CDTF">2024-04-08T02:02:00Z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